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A5EEB">
      <w:pPr>
        <w:spacing w:line="560" w:lineRule="exact"/>
        <w:jc w:val="left"/>
        <w:rPr>
          <w:rFonts w:ascii="黑体" w:eastAsia="黑体"/>
          <w:color w:val="auto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Cs w:val="32"/>
        </w:rPr>
        <w:t xml:space="preserve">附件2        </w:t>
      </w:r>
      <w:r>
        <w:rPr>
          <w:rFonts w:hint="eastAsia" w:ascii="黑体" w:eastAsia="黑体"/>
          <w:color w:val="auto"/>
        </w:rPr>
        <w:t xml:space="preserve">                                           </w:t>
      </w:r>
    </w:p>
    <w:p w14:paraId="5B473ED4">
      <w:pPr>
        <w:wordWrap w:val="0"/>
        <w:spacing w:line="560" w:lineRule="exact"/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</w:rPr>
        <w:t xml:space="preserve">                                                  </w:t>
      </w:r>
    </w:p>
    <w:p w14:paraId="6C290B42">
      <w:pPr>
        <w:snapToGrid w:val="0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截至202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年末发行的新增政府专项债券情况表</w:t>
      </w:r>
    </w:p>
    <w:p w14:paraId="174DA6F4">
      <w:pPr>
        <w:snapToGrid w:val="0"/>
        <w:jc w:val="right"/>
        <w:rPr>
          <w:color w:val="auto"/>
          <w:sz w:val="30"/>
          <w:szCs w:val="30"/>
        </w:rPr>
      </w:pPr>
    </w:p>
    <w:tbl>
      <w:tblPr>
        <w:tblStyle w:val="3"/>
        <w:tblW w:w="128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60"/>
        <w:gridCol w:w="567"/>
        <w:gridCol w:w="425"/>
        <w:gridCol w:w="851"/>
        <w:gridCol w:w="850"/>
        <w:gridCol w:w="709"/>
        <w:gridCol w:w="567"/>
        <w:gridCol w:w="851"/>
        <w:gridCol w:w="708"/>
        <w:gridCol w:w="567"/>
        <w:gridCol w:w="851"/>
        <w:gridCol w:w="576"/>
        <w:gridCol w:w="700"/>
        <w:gridCol w:w="425"/>
        <w:gridCol w:w="425"/>
        <w:gridCol w:w="1418"/>
        <w:gridCol w:w="518"/>
      </w:tblGrid>
      <w:tr w14:paraId="3E535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3731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53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89E8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6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50F0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10A2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备注</w:t>
            </w:r>
          </w:p>
        </w:tc>
      </w:tr>
      <w:tr w14:paraId="4255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68373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B514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F14A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69E1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9882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4623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5648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ABC6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EB44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12D019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债券项目资产类型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E0D4C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F221F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BED9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已取得项目收益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C959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形成资产情况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3F6751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1DB82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4665D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DAE8E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331D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F457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C466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FC0E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C43E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480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B7B6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399FD7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A2BFB61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DAABC2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2092E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AD1F9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751898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5BBD6D1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7095B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0D186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B3F5E7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941CE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919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54C3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1A9D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0B4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F36D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F4B7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9E74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A4C5450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35DCE8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9BAE7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20B654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613F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7ED97E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9838A8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7BC82B8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CAF67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D6F9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EFD1A">
            <w:pPr>
              <w:widowControl/>
              <w:jc w:val="left"/>
              <w:rPr>
                <w:rFonts w:hint="eastAsia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柳州职业技术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8428">
            <w:pPr>
              <w:widowControl/>
              <w:jc w:val="left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2024年广西壮族自治区政府社会领域专项债券（一期）-2024年广西壮族自治区政府专项债券（八期）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CD704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2405182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ECE7C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专项债券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E004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C6723">
            <w:pPr>
              <w:widowControl/>
              <w:jc w:val="left"/>
              <w:rPr>
                <w:rFonts w:hint="eastAsia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Ansi="宋体" w:cs="宋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Ansi="宋体" w:cs="宋体"/>
                <w:color w:val="auto"/>
                <w:kern w:val="0"/>
                <w:sz w:val="24"/>
                <w:szCs w:val="24"/>
              </w:rPr>
              <w:t>/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Ansi="宋体" w:cs="宋体"/>
                <w:color w:val="auto"/>
                <w:kern w:val="0"/>
                <w:sz w:val="24"/>
                <w:szCs w:val="24"/>
              </w:rPr>
              <w:t>/2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7A974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2.67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4417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EBE7F">
            <w:pPr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柳州职业技术学院新校区建设项目（二期）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5D1D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高等学校类资产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698AC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92000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07F6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6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000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89817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10715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9F92"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10615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14AE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0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0B0C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35393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EEB5FB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本批次债券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主要建设2号楼已竣工，7号楼9号楼主体建设施工阶段，10号楼、11号楼在装修阶段；项目未全部完工运营。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6FDE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</w:tbl>
    <w:p w14:paraId="5BB20EEE">
      <w:pPr>
        <w:spacing w:line="560" w:lineRule="exact"/>
        <w:rPr>
          <w:sz w:val="28"/>
          <w:szCs w:val="28"/>
        </w:rPr>
      </w:pPr>
    </w:p>
    <w:p w14:paraId="556B1D1A">
      <w:pPr>
        <w:widowControl/>
        <w:jc w:val="left"/>
        <w:rPr>
          <w:rFonts w:ascii="Calibri" w:hAnsi="Calibri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18" w:left="1985" w:header="851" w:footer="992" w:gutter="0"/>
          <w:cols w:space="720" w:num="1"/>
          <w:docGrid w:linePitch="435" w:charSpace="0"/>
        </w:sectPr>
      </w:pPr>
      <w:r>
        <w:rPr>
          <w:rFonts w:hint="eastAsia"/>
          <w:sz w:val="28"/>
          <w:szCs w:val="28"/>
        </w:rPr>
        <w:t>注：本表由使用专项债券资金的部门逐笔填列后于每年6月底前公开，本次反映202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年末专项债券及对应项目情况。</w:t>
      </w:r>
    </w:p>
    <w:p w14:paraId="0D1F05C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 w14:paraId="344F8CCE"/>
    <w:p w14:paraId="37E0C0BF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年末发行的新增地方政府专项债券资金收支情况表</w:t>
      </w:r>
    </w:p>
    <w:p w14:paraId="237C65CD">
      <w:pPr>
        <w:widowControl/>
        <w:jc w:val="right"/>
      </w:pPr>
      <w:r>
        <w:rPr>
          <w:rFonts w:hint="eastAsia"/>
        </w:rPr>
        <w:t>单位：亿元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50"/>
        <w:gridCol w:w="1128"/>
        <w:gridCol w:w="4292"/>
        <w:gridCol w:w="795"/>
      </w:tblGrid>
      <w:tr w14:paraId="37BD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49" w:type="dxa"/>
            <w:vMerge w:val="restart"/>
            <w:shd w:val="clear" w:color="auto" w:fill="auto"/>
          </w:tcPr>
          <w:p w14:paraId="5D57AFA9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序号</w:t>
            </w:r>
          </w:p>
        </w:tc>
        <w:tc>
          <w:tcPr>
            <w:tcW w:w="2578" w:type="dxa"/>
            <w:gridSpan w:val="2"/>
            <w:shd w:val="clear" w:color="auto" w:fill="auto"/>
          </w:tcPr>
          <w:p w14:paraId="46F5B4B1">
            <w:pPr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截至202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黑体"/>
                <w:sz w:val="24"/>
                <w:szCs w:val="24"/>
              </w:rPr>
              <w:t>年末新增专项债券资金收入</w:t>
            </w:r>
          </w:p>
        </w:tc>
        <w:tc>
          <w:tcPr>
            <w:tcW w:w="5087" w:type="dxa"/>
            <w:gridSpan w:val="2"/>
            <w:shd w:val="clear" w:color="auto" w:fill="auto"/>
          </w:tcPr>
          <w:p w14:paraId="557B94C2">
            <w:pPr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截至202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黑体"/>
                <w:sz w:val="24"/>
                <w:szCs w:val="24"/>
              </w:rPr>
              <w:t>年末新增专项债券资金安排的支出</w:t>
            </w:r>
          </w:p>
        </w:tc>
      </w:tr>
      <w:tr w14:paraId="170F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vMerge w:val="continue"/>
            <w:shd w:val="clear" w:color="auto" w:fill="auto"/>
          </w:tcPr>
          <w:p w14:paraId="52B9BEA9">
            <w:pPr>
              <w:rPr>
                <w:rFonts w:hAnsi="黑体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noWrap/>
          </w:tcPr>
          <w:p w14:paraId="5F3B5AD4">
            <w:pPr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债券名称</w:t>
            </w:r>
          </w:p>
        </w:tc>
        <w:tc>
          <w:tcPr>
            <w:tcW w:w="1128" w:type="dxa"/>
            <w:shd w:val="clear" w:color="auto" w:fill="auto"/>
            <w:noWrap/>
          </w:tcPr>
          <w:p w14:paraId="430820EE">
            <w:pPr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  <w:tc>
          <w:tcPr>
            <w:tcW w:w="4292" w:type="dxa"/>
            <w:shd w:val="clear" w:color="auto" w:fill="auto"/>
            <w:noWrap/>
          </w:tcPr>
          <w:p w14:paraId="507CD931">
            <w:pPr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支出功能分类</w:t>
            </w:r>
          </w:p>
        </w:tc>
        <w:tc>
          <w:tcPr>
            <w:tcW w:w="795" w:type="dxa"/>
            <w:shd w:val="clear" w:color="auto" w:fill="auto"/>
            <w:noWrap/>
          </w:tcPr>
          <w:p w14:paraId="165B4A2A">
            <w:pPr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</w:tr>
      <w:tr w14:paraId="74DE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 w14:paraId="3CDBB85B">
            <w:pPr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合计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14:paraId="02C03047">
            <w:pPr>
              <w:jc w:val="center"/>
              <w:rPr>
                <w:rFonts w:hAnsi="黑体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54DEDA6B"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2.10</w:t>
            </w:r>
          </w:p>
        </w:tc>
        <w:tc>
          <w:tcPr>
            <w:tcW w:w="4292" w:type="dxa"/>
            <w:shd w:val="clear" w:color="auto" w:fill="auto"/>
            <w:noWrap/>
          </w:tcPr>
          <w:p w14:paraId="557C236C">
            <w:pPr>
              <w:jc w:val="center"/>
              <w:rPr>
                <w:rFonts w:hAnsi="黑体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noWrap/>
          </w:tcPr>
          <w:p w14:paraId="68AFE3A4"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0.66</w:t>
            </w:r>
          </w:p>
        </w:tc>
      </w:tr>
      <w:tr w14:paraId="5E29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 w14:paraId="7CD6A80F"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14:paraId="16257843">
            <w:pPr>
              <w:jc w:val="center"/>
              <w:rPr>
                <w:rFonts w:hAnsi="黑体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424B5908">
            <w:pPr>
              <w:jc w:val="center"/>
              <w:rPr>
                <w:rFonts w:hint="eastAsia" w:hAnsi="黑体"/>
                <w:sz w:val="24"/>
                <w:szCs w:val="24"/>
                <w:lang w:val="en-US" w:eastAsia="zh-CN"/>
              </w:rPr>
            </w:pPr>
          </w:p>
        </w:tc>
        <w:tc>
          <w:tcPr>
            <w:tcW w:w="4292" w:type="dxa"/>
            <w:shd w:val="clear" w:color="auto" w:fill="auto"/>
            <w:noWrap/>
          </w:tcPr>
          <w:p w14:paraId="4025EABF">
            <w:pPr>
              <w:jc w:val="left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206科学技术支出</w:t>
            </w:r>
          </w:p>
        </w:tc>
        <w:tc>
          <w:tcPr>
            <w:tcW w:w="795" w:type="dxa"/>
            <w:shd w:val="clear" w:color="auto" w:fill="auto"/>
            <w:noWrap/>
          </w:tcPr>
          <w:p w14:paraId="29A91E67">
            <w:pPr>
              <w:jc w:val="center"/>
              <w:rPr>
                <w:rFonts w:hint="eastAsia" w:hAnsi="黑体"/>
                <w:sz w:val="24"/>
                <w:szCs w:val="24"/>
                <w:lang w:val="en-US" w:eastAsia="zh-CN"/>
              </w:rPr>
            </w:pPr>
          </w:p>
        </w:tc>
      </w:tr>
      <w:tr w14:paraId="3D71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 w14:paraId="0AA681B2"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0" w:type="dxa"/>
            <w:shd w:val="clear" w:color="auto" w:fill="auto"/>
            <w:noWrap/>
          </w:tcPr>
          <w:p w14:paraId="5C8EC11E"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0EE2726E">
            <w:pPr>
              <w:jc w:val="both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92" w:type="dxa"/>
            <w:shd w:val="clear" w:color="auto" w:fill="auto"/>
            <w:noWrap/>
          </w:tcPr>
          <w:p w14:paraId="3B436DF5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207文化旅游体育与传媒支出</w:t>
            </w:r>
          </w:p>
          <w:p w14:paraId="7A80832E"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noWrap/>
          </w:tcPr>
          <w:p w14:paraId="4206B99E">
            <w:pPr>
              <w:rPr>
                <w:rFonts w:hint="eastAsia" w:hAnsi="黑体"/>
                <w:sz w:val="24"/>
                <w:szCs w:val="24"/>
              </w:rPr>
            </w:pPr>
          </w:p>
        </w:tc>
      </w:tr>
      <w:tr w14:paraId="684A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 w14:paraId="3C11C497"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0" w:type="dxa"/>
            <w:shd w:val="clear" w:color="auto" w:fill="auto"/>
            <w:noWrap/>
          </w:tcPr>
          <w:p w14:paraId="328A638A">
            <w:pP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7A8B2C6B">
            <w:pPr>
              <w:jc w:val="both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auto"/>
            <w:noWrap/>
          </w:tcPr>
          <w:p w14:paraId="7E631D24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208社会保障和就业支出</w:t>
            </w:r>
          </w:p>
        </w:tc>
        <w:tc>
          <w:tcPr>
            <w:tcW w:w="795" w:type="dxa"/>
            <w:shd w:val="clear" w:color="auto" w:fill="auto"/>
            <w:noWrap/>
          </w:tcPr>
          <w:p w14:paraId="27911D32">
            <w:pPr>
              <w:rPr>
                <w:rFonts w:hint="eastAsia" w:hAnsi="黑体"/>
                <w:sz w:val="24"/>
                <w:szCs w:val="24"/>
              </w:rPr>
            </w:pPr>
          </w:p>
        </w:tc>
      </w:tr>
      <w:tr w14:paraId="7ADC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 w14:paraId="5A849572"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0" w:type="dxa"/>
            <w:shd w:val="clear" w:color="auto" w:fill="auto"/>
            <w:noWrap/>
          </w:tcPr>
          <w:p w14:paraId="2A595294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49AE7D75">
            <w:pPr>
              <w:jc w:val="center"/>
              <w:rPr>
                <w:rFonts w:hAnsi="黑体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auto"/>
            <w:noWrap/>
          </w:tcPr>
          <w:p w14:paraId="4C71BFC7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211节能环保支出</w:t>
            </w:r>
          </w:p>
        </w:tc>
        <w:tc>
          <w:tcPr>
            <w:tcW w:w="795" w:type="dxa"/>
            <w:shd w:val="clear" w:color="auto" w:fill="auto"/>
            <w:noWrap/>
          </w:tcPr>
          <w:p w14:paraId="15C0FA2C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 w14:paraId="2DFA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 w14:paraId="36982C45">
            <w:pPr>
              <w:jc w:val="center"/>
              <w:rPr>
                <w:rFonts w:hint="eastAsia" w:hAnsi="黑体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0" w:type="dxa"/>
            <w:shd w:val="clear" w:color="auto" w:fill="auto"/>
            <w:noWrap/>
          </w:tcPr>
          <w:p w14:paraId="6620AC9A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28" w:type="dxa"/>
            <w:shd w:val="clear" w:color="auto" w:fill="auto"/>
            <w:noWrap/>
          </w:tcPr>
          <w:p w14:paraId="2F51A9DA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292" w:type="dxa"/>
            <w:shd w:val="clear" w:color="auto" w:fill="auto"/>
            <w:noWrap/>
          </w:tcPr>
          <w:p w14:paraId="7FF6A614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212城乡社区支出</w:t>
            </w:r>
          </w:p>
        </w:tc>
        <w:tc>
          <w:tcPr>
            <w:tcW w:w="795" w:type="dxa"/>
            <w:shd w:val="clear" w:color="auto" w:fill="auto"/>
            <w:noWrap/>
          </w:tcPr>
          <w:p w14:paraId="2D9BE334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 w14:paraId="6C31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 w14:paraId="094BC71D">
            <w:pPr>
              <w:jc w:val="center"/>
              <w:rPr>
                <w:rFonts w:hint="eastAsia" w:hAnsi="黑体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0" w:type="dxa"/>
            <w:shd w:val="clear" w:color="auto" w:fill="auto"/>
            <w:noWrap/>
          </w:tcPr>
          <w:p w14:paraId="78D22E5B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28" w:type="dxa"/>
            <w:shd w:val="clear" w:color="auto" w:fill="auto"/>
            <w:noWrap/>
          </w:tcPr>
          <w:p w14:paraId="422CDAC1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292" w:type="dxa"/>
            <w:shd w:val="clear" w:color="auto" w:fill="auto"/>
            <w:noWrap/>
          </w:tcPr>
          <w:p w14:paraId="66B20C7C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213农林水支出</w:t>
            </w:r>
          </w:p>
        </w:tc>
        <w:tc>
          <w:tcPr>
            <w:tcW w:w="795" w:type="dxa"/>
            <w:shd w:val="clear" w:color="auto" w:fill="auto"/>
            <w:noWrap/>
          </w:tcPr>
          <w:p w14:paraId="74CB5787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 w14:paraId="5106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 w14:paraId="447F7926">
            <w:pPr>
              <w:jc w:val="center"/>
              <w:rPr>
                <w:rFonts w:hint="eastAsia" w:hAnsi="黑体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50" w:type="dxa"/>
            <w:shd w:val="clear" w:color="auto" w:fill="auto"/>
            <w:noWrap/>
          </w:tcPr>
          <w:p w14:paraId="0C7509FE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28" w:type="dxa"/>
            <w:shd w:val="clear" w:color="auto" w:fill="auto"/>
            <w:noWrap/>
          </w:tcPr>
          <w:p w14:paraId="7DF4CD9B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292" w:type="dxa"/>
            <w:shd w:val="clear" w:color="auto" w:fill="auto"/>
            <w:noWrap/>
          </w:tcPr>
          <w:p w14:paraId="21379904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214交通运输支出</w:t>
            </w:r>
          </w:p>
        </w:tc>
        <w:tc>
          <w:tcPr>
            <w:tcW w:w="795" w:type="dxa"/>
            <w:shd w:val="clear" w:color="auto" w:fill="auto"/>
            <w:noWrap/>
          </w:tcPr>
          <w:p w14:paraId="2F9160DB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 w14:paraId="4398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shd w:val="clear" w:color="auto" w:fill="auto"/>
            <w:noWrap/>
          </w:tcPr>
          <w:p w14:paraId="710B3F71">
            <w:pPr>
              <w:jc w:val="center"/>
              <w:rPr>
                <w:rFonts w:hint="eastAsia" w:hAnsi="黑体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0" w:type="dxa"/>
            <w:shd w:val="clear" w:color="auto" w:fill="auto"/>
            <w:noWrap/>
          </w:tcPr>
          <w:p w14:paraId="6C93AC70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28" w:type="dxa"/>
            <w:shd w:val="clear" w:color="auto" w:fill="auto"/>
            <w:noWrap/>
          </w:tcPr>
          <w:p w14:paraId="4B57ABDC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292" w:type="dxa"/>
            <w:shd w:val="clear" w:color="auto" w:fill="auto"/>
            <w:noWrap/>
          </w:tcPr>
          <w:p w14:paraId="409FD05A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215资源勘探信息等支出</w:t>
            </w:r>
          </w:p>
        </w:tc>
        <w:tc>
          <w:tcPr>
            <w:tcW w:w="795" w:type="dxa"/>
            <w:shd w:val="clear" w:color="auto" w:fill="auto"/>
            <w:noWrap/>
          </w:tcPr>
          <w:p w14:paraId="4B810D20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 w14:paraId="31F3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 w14:paraId="61BBAC6B">
            <w:pPr>
              <w:jc w:val="center"/>
              <w:rPr>
                <w:rFonts w:hint="eastAsia" w:hAnsi="黑体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50" w:type="dxa"/>
            <w:shd w:val="clear" w:color="auto" w:fill="auto"/>
            <w:noWrap/>
          </w:tcPr>
          <w:p w14:paraId="24DC0FC9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28" w:type="dxa"/>
            <w:shd w:val="clear" w:color="auto" w:fill="auto"/>
            <w:noWrap/>
          </w:tcPr>
          <w:p w14:paraId="37F044C9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292" w:type="dxa"/>
            <w:shd w:val="clear" w:color="auto" w:fill="auto"/>
            <w:noWrap/>
          </w:tcPr>
          <w:p w14:paraId="67C897EC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217金融支出</w:t>
            </w:r>
          </w:p>
        </w:tc>
        <w:tc>
          <w:tcPr>
            <w:tcW w:w="795" w:type="dxa"/>
            <w:shd w:val="clear" w:color="auto" w:fill="auto"/>
            <w:noWrap/>
          </w:tcPr>
          <w:p w14:paraId="7BBBE876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 w14:paraId="228D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 w14:paraId="29B6CBBF">
            <w:pPr>
              <w:jc w:val="center"/>
              <w:rPr>
                <w:rFonts w:hint="default" w:hAnsi="黑体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50" w:type="dxa"/>
            <w:shd w:val="clear" w:color="auto" w:fill="auto"/>
            <w:noWrap/>
          </w:tcPr>
          <w:p w14:paraId="4CF9257D">
            <w:pPr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2024年广西壮族自治区政府社会领域专项债券（一期）-2024年广西壮族自治区政府专项债券（八期）</w:t>
            </w:r>
          </w:p>
        </w:tc>
        <w:tc>
          <w:tcPr>
            <w:tcW w:w="1128" w:type="dxa"/>
            <w:shd w:val="clear" w:color="auto" w:fill="auto"/>
            <w:noWrap/>
          </w:tcPr>
          <w:p w14:paraId="773D1BAC">
            <w:pPr>
              <w:rPr>
                <w:rFonts w:hAnsi="黑体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auto"/>
            <w:noWrap/>
            <w:vAlign w:val="center"/>
          </w:tcPr>
          <w:p w14:paraId="32305346">
            <w:pPr>
              <w:jc w:val="left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229其他支出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4872F86"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0.66</w:t>
            </w:r>
          </w:p>
        </w:tc>
      </w:tr>
    </w:tbl>
    <w:p w14:paraId="5FC74CF1"/>
    <w:p w14:paraId="0AF7DB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E2BA8"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CA592"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NmM0NzE3NmQ5ODAwZWRjNzEyMzMzMjMyMDhjZDcifQ=="/>
  </w:docVars>
  <w:rsids>
    <w:rsidRoot w:val="00C44CDB"/>
    <w:rsid w:val="000974CB"/>
    <w:rsid w:val="000F5713"/>
    <w:rsid w:val="00134A05"/>
    <w:rsid w:val="005C3B9B"/>
    <w:rsid w:val="00795A5B"/>
    <w:rsid w:val="00844C7C"/>
    <w:rsid w:val="00870FD4"/>
    <w:rsid w:val="008D741F"/>
    <w:rsid w:val="00A11C21"/>
    <w:rsid w:val="00BC7DC4"/>
    <w:rsid w:val="00C44CDB"/>
    <w:rsid w:val="00CB27D9"/>
    <w:rsid w:val="00D55B7B"/>
    <w:rsid w:val="00D7394A"/>
    <w:rsid w:val="00F75880"/>
    <w:rsid w:val="0A4035DE"/>
    <w:rsid w:val="0EE7692B"/>
    <w:rsid w:val="16AC4052"/>
    <w:rsid w:val="2D804F98"/>
    <w:rsid w:val="3A546121"/>
    <w:rsid w:val="3FC2057D"/>
    <w:rsid w:val="438C0A54"/>
    <w:rsid w:val="47CE7ABA"/>
    <w:rsid w:val="4F136422"/>
    <w:rsid w:val="5A9D27E6"/>
    <w:rsid w:val="675604E3"/>
    <w:rsid w:val="6A241CE3"/>
    <w:rsid w:val="7BED4E01"/>
    <w:rsid w:val="7C51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customStyle="1" w:styleId="5">
    <w:name w:val="页脚 Char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1"/>
    <w:basedOn w:val="4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424</Words>
  <Characters>496</Characters>
  <Lines>10</Lines>
  <Paragraphs>2</Paragraphs>
  <TotalTime>3</TotalTime>
  <ScaleCrop>false</ScaleCrop>
  <LinksUpToDate>false</LinksUpToDate>
  <CharactersWithSpaces>612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2022-06-29T07:54:00Z</dcterms:created>
  <dc:creator>admin</dc:creator>
  <cp:lastModifiedBy>莫莫</cp:lastModifiedBy>
  <dcterms:modified xsi:type="dcterms:W3CDTF">2025-07-07T02:19:39Z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9ADE0C1ED8424C849FBA855147239FDD_13</vt:lpwstr>
  </property>
  <property fmtid="{D5CDD505-2E9C-101B-9397-08002B2CF9AE}" pid="4" name="KSOTemplateDocerSaveRecord">
    <vt:lpwstr>eyJoZGlkIjoiZjA1NmM0NzE3NmQ5ODAwZWRjNzEyMzMzMjMyMDhjZDciLCJ1c2VySWQiOiIzNjA1ODYzMTAifQ==</vt:lpwstr>
  </property>
</Properties>
</file>